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9CEC623">
      <w:pPr>
        <w:autoSpaceDN w:val="0"/>
        <w:adjustRightInd w:val="0"/>
        <w:spacing w:line="240" w:lineRule="auto"/>
        <w:jc w:val="left"/>
        <w:rPr>
          <w:rFonts w:hint="eastAsia" w:ascii="仿宋_GB2312" w:hAnsi="仿宋_GB2312" w:cs="仿宋_GB2312"/>
          <w:position w:val="-46"/>
          <w:lang w:val="en-US" w:eastAsia="zh-CN"/>
        </w:rPr>
      </w:pPr>
      <w:r>
        <w:rPr>
          <w:rFonts w:hint="eastAsia" w:ascii="仿宋_GB2312" w:hAnsi="仿宋_GB2312" w:cs="仿宋_GB2312"/>
          <w:position w:val="-46"/>
          <w:lang w:val="en-US" w:eastAsia="zh-CN"/>
        </w:rPr>
        <w:t>附件一：新材料关键核心技术攻关</w:t>
      </w:r>
    </w:p>
    <w:p w14:paraId="564E88DD">
      <w:pPr>
        <w:jc w:val="center"/>
        <w:rPr>
          <w:rFonts w:ascii="黑体" w:eastAsia="黑体"/>
          <w:szCs w:val="32"/>
        </w:rPr>
      </w:pPr>
      <w:r>
        <w:rPr>
          <w:rFonts w:hint="eastAsia" w:ascii="黑体" w:eastAsia="黑体"/>
          <w:szCs w:val="32"/>
        </w:rPr>
        <w:t>项目基本信息表</w:t>
      </w:r>
    </w:p>
    <w:tbl>
      <w:tblPr>
        <w:tblStyle w:val="9"/>
        <w:tblW w:w="92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455"/>
        <w:gridCol w:w="380"/>
        <w:gridCol w:w="1560"/>
        <w:gridCol w:w="283"/>
        <w:gridCol w:w="142"/>
        <w:gridCol w:w="2126"/>
      </w:tblGrid>
      <w:tr w14:paraId="0FC31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 w14:paraId="15EBF768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项目名称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2E0B671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C9D2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 w14:paraId="2E1963D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项目实施地址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2C82F22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C8BE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8" w:type="dxa"/>
            <w:noWrap w:val="0"/>
            <w:vAlign w:val="top"/>
          </w:tcPr>
          <w:p w14:paraId="1731E61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项目开始时间</w:t>
            </w:r>
          </w:p>
        </w:tc>
        <w:tc>
          <w:tcPr>
            <w:tcW w:w="2455" w:type="dxa"/>
            <w:noWrap w:val="0"/>
            <w:vAlign w:val="top"/>
          </w:tcPr>
          <w:p w14:paraId="16F98F61">
            <w:pPr>
              <w:ind w:firstLine="819" w:firstLineChars="35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</w:t>
            </w:r>
          </w:p>
        </w:tc>
        <w:tc>
          <w:tcPr>
            <w:tcW w:w="2223" w:type="dxa"/>
            <w:gridSpan w:val="3"/>
            <w:noWrap w:val="0"/>
            <w:vAlign w:val="top"/>
          </w:tcPr>
          <w:p w14:paraId="608C4E7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项目结束时间</w:t>
            </w:r>
          </w:p>
        </w:tc>
        <w:tc>
          <w:tcPr>
            <w:tcW w:w="2268" w:type="dxa"/>
            <w:gridSpan w:val="2"/>
            <w:noWrap w:val="0"/>
            <w:vAlign w:val="top"/>
          </w:tcPr>
          <w:p w14:paraId="5579501E">
            <w:pPr>
              <w:ind w:firstLine="702" w:firstLineChars="30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     月</w:t>
            </w:r>
          </w:p>
        </w:tc>
      </w:tr>
      <w:tr w14:paraId="661B1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2268" w:type="dxa"/>
            <w:noWrap w:val="0"/>
            <w:vAlign w:val="top"/>
          </w:tcPr>
          <w:p w14:paraId="1C3F4B8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项目目标</w:t>
            </w:r>
          </w:p>
          <w:p w14:paraId="4FDC94C7">
            <w:pPr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（300字以内）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47DC3AA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D5BE72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D2B8C4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B643A9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837174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7BAA1A7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BF9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  <w:jc w:val="center"/>
        </w:trPr>
        <w:tc>
          <w:tcPr>
            <w:tcW w:w="2268" w:type="dxa"/>
            <w:noWrap w:val="0"/>
            <w:vAlign w:val="top"/>
          </w:tcPr>
          <w:p w14:paraId="31E7303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项目内容</w:t>
            </w:r>
          </w:p>
          <w:p w14:paraId="50F9B02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5F59386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A9564A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2E0066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3523FDC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B02947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DDCBB7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5BAB0C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04BB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2268" w:type="dxa"/>
            <w:noWrap w:val="0"/>
            <w:vAlign w:val="top"/>
          </w:tcPr>
          <w:p w14:paraId="61413C2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技术来源</w:t>
            </w:r>
          </w:p>
        </w:tc>
        <w:tc>
          <w:tcPr>
            <w:tcW w:w="2455" w:type="dxa"/>
            <w:noWrap w:val="0"/>
            <w:vAlign w:val="top"/>
          </w:tcPr>
          <w:p w14:paraId="3B97236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□国外引进</w:t>
            </w:r>
          </w:p>
        </w:tc>
        <w:tc>
          <w:tcPr>
            <w:tcW w:w="1940" w:type="dxa"/>
            <w:gridSpan w:val="2"/>
            <w:noWrap w:val="0"/>
            <w:vAlign w:val="top"/>
          </w:tcPr>
          <w:p w14:paraId="1D132E3A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□国内技术</w:t>
            </w:r>
          </w:p>
        </w:tc>
        <w:tc>
          <w:tcPr>
            <w:tcW w:w="2551" w:type="dxa"/>
            <w:gridSpan w:val="3"/>
            <w:noWrap w:val="0"/>
            <w:vAlign w:val="top"/>
          </w:tcPr>
          <w:p w14:paraId="7B2DE4E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□自主技术</w:t>
            </w:r>
          </w:p>
        </w:tc>
      </w:tr>
      <w:tr w14:paraId="56B7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268" w:type="dxa"/>
            <w:noWrap w:val="0"/>
            <w:vAlign w:val="top"/>
          </w:tcPr>
          <w:p w14:paraId="5EF38B6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与高校、研究院合作及相关情况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2C3FF97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19E64FC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B0E55F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169F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9" w:hRule="atLeast"/>
          <w:jc w:val="center"/>
        </w:trPr>
        <w:tc>
          <w:tcPr>
            <w:tcW w:w="2268" w:type="dxa"/>
            <w:noWrap w:val="0"/>
            <w:vAlign w:val="top"/>
          </w:tcPr>
          <w:p w14:paraId="438BFEF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关键技术及项目先进性简述</w:t>
            </w:r>
            <w:r>
              <w:rPr>
                <w:rFonts w:hint="eastAsia" w:ascii="仿宋_GB2312" w:hAnsi="仿宋_GB2312" w:cs="仿宋_GB2312"/>
                <w:sz w:val="24"/>
                <w:szCs w:val="24"/>
                <w:lang w:eastAsia="zh-CN"/>
              </w:rPr>
              <w:t>（包括技术成熟度等）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（500字以内）</w:t>
            </w:r>
            <w:bookmarkStart w:id="0" w:name="_GoBack"/>
            <w:bookmarkEnd w:id="0"/>
          </w:p>
        </w:tc>
        <w:tc>
          <w:tcPr>
            <w:tcW w:w="6946" w:type="dxa"/>
            <w:gridSpan w:val="6"/>
            <w:noWrap w:val="0"/>
            <w:vAlign w:val="top"/>
          </w:tcPr>
          <w:p w14:paraId="446205AB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000709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1E8A8FDD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A400E4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9D5E15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5D59B07E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49E7E9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D8A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5" w:hRule="atLeast"/>
          <w:jc w:val="center"/>
        </w:trPr>
        <w:tc>
          <w:tcPr>
            <w:tcW w:w="2268" w:type="dxa"/>
            <w:noWrap w:val="0"/>
            <w:vAlign w:val="top"/>
          </w:tcPr>
          <w:p w14:paraId="15BB56E5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项目竞争优势及项目必要性简述</w:t>
            </w:r>
            <w:r>
              <w:rPr>
                <w:rFonts w:hint="eastAsia" w:ascii="仿宋_GB2312" w:hAnsi="仿宋_GB2312" w:eastAsia="仿宋_GB2312" w:cs="仿宋_GB2312"/>
                <w:kern w:val="0"/>
                <w:sz w:val="18"/>
                <w:szCs w:val="18"/>
              </w:rPr>
              <w:t>（500字以内）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4CF838E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9B6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5" w:hRule="atLeast"/>
          <w:jc w:val="center"/>
        </w:trPr>
        <w:tc>
          <w:tcPr>
            <w:tcW w:w="2268" w:type="dxa"/>
            <w:noWrap w:val="0"/>
            <w:vAlign w:val="top"/>
          </w:tcPr>
          <w:p w14:paraId="562A555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考核指标</w:t>
            </w:r>
          </w:p>
          <w:p w14:paraId="72BE1077">
            <w:pPr>
              <w:widowControl/>
              <w:tabs>
                <w:tab w:val="left" w:pos="720"/>
              </w:tabs>
              <w:spacing w:line="340" w:lineRule="exact"/>
              <w:jc w:val="left"/>
              <w:rPr>
                <w:rFonts w:hint="eastAsia" w:ascii="仿宋" w:hAnsi="仿宋" w:eastAsia="仿宋" w:cs="宋体"/>
                <w:color w:val="000000"/>
                <w:spacing w:val="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spacing w:val="0"/>
                <w:kern w:val="0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仿宋" w:hAnsi="仿宋" w:eastAsia="仿宋" w:cs="宋体"/>
                <w:color w:val="000000"/>
                <w:spacing w:val="0"/>
                <w:kern w:val="0"/>
                <w:sz w:val="22"/>
                <w:szCs w:val="22"/>
              </w:rPr>
              <w:t>1000字以内）</w:t>
            </w:r>
          </w:p>
          <w:p w14:paraId="1D31F056">
            <w:pPr>
              <w:widowControl/>
              <w:tabs>
                <w:tab w:val="left" w:pos="720"/>
              </w:tabs>
              <w:spacing w:line="34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pacing w:val="0"/>
                <w:kern w:val="0"/>
                <w:sz w:val="22"/>
                <w:szCs w:val="22"/>
              </w:rPr>
              <w:t>（指项目执行期结束时，达到的科技攻关目标及技术指标、新形成的生产能力、实现的经济效益[销售收入或示范应用情况等]和社会效益、取得的知识产权和新产品等）</w:t>
            </w:r>
          </w:p>
        </w:tc>
        <w:tc>
          <w:tcPr>
            <w:tcW w:w="6946" w:type="dxa"/>
            <w:gridSpan w:val="6"/>
            <w:noWrap w:val="0"/>
            <w:vAlign w:val="top"/>
          </w:tcPr>
          <w:p w14:paraId="234D86A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27D21842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B03E5B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DF6CC7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0BE1A7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6772155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44D14ED9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784C3363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 w14:paraId="046F62F4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5A00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03" w:type="dxa"/>
            <w:gridSpan w:val="3"/>
            <w:noWrap w:val="0"/>
            <w:vAlign w:val="center"/>
          </w:tcPr>
          <w:p w14:paraId="1884798B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计划项目完成的任务及目标进度</w:t>
            </w:r>
          </w:p>
          <w:p w14:paraId="5F25E238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18"/>
                <w:szCs w:val="18"/>
              </w:rPr>
              <w:t>（填写时，以每半年为一阶段）</w:t>
            </w:r>
          </w:p>
        </w:tc>
        <w:tc>
          <w:tcPr>
            <w:tcW w:w="1985" w:type="dxa"/>
            <w:gridSpan w:val="3"/>
            <w:noWrap w:val="0"/>
            <w:vAlign w:val="center"/>
          </w:tcPr>
          <w:p w14:paraId="74BBEEB4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开始时间</w:t>
            </w:r>
          </w:p>
        </w:tc>
        <w:tc>
          <w:tcPr>
            <w:tcW w:w="2126" w:type="dxa"/>
            <w:noWrap w:val="0"/>
            <w:vAlign w:val="center"/>
          </w:tcPr>
          <w:p w14:paraId="5CDF5BC9">
            <w:pPr>
              <w:spacing w:line="38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结束时间</w:t>
            </w:r>
          </w:p>
        </w:tc>
      </w:tr>
      <w:tr w14:paraId="4E553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5103" w:type="dxa"/>
            <w:gridSpan w:val="3"/>
            <w:noWrap w:val="0"/>
            <w:vAlign w:val="top"/>
          </w:tcPr>
          <w:p w14:paraId="122D492F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57D91EB1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30D97746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6AEC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5103" w:type="dxa"/>
            <w:gridSpan w:val="3"/>
            <w:noWrap w:val="0"/>
            <w:vAlign w:val="top"/>
          </w:tcPr>
          <w:p w14:paraId="658F8942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6DAC5E9E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1485DA70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57074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  <w:jc w:val="center"/>
        </w:trPr>
        <w:tc>
          <w:tcPr>
            <w:tcW w:w="5103" w:type="dxa"/>
            <w:gridSpan w:val="3"/>
            <w:noWrap w:val="0"/>
            <w:vAlign w:val="top"/>
          </w:tcPr>
          <w:p w14:paraId="3FB345C1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59B55D05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5453C815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EF96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5103" w:type="dxa"/>
            <w:gridSpan w:val="3"/>
            <w:noWrap w:val="0"/>
            <w:vAlign w:val="top"/>
          </w:tcPr>
          <w:p w14:paraId="7C5D62D2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noWrap w:val="0"/>
            <w:vAlign w:val="top"/>
          </w:tcPr>
          <w:p w14:paraId="13004513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126" w:type="dxa"/>
            <w:noWrap w:val="0"/>
            <w:vAlign w:val="top"/>
          </w:tcPr>
          <w:p w14:paraId="40FC785E">
            <w:pPr>
              <w:spacing w:line="380" w:lineRule="exact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33629E4B">
      <w:pPr>
        <w:jc w:val="center"/>
        <w:rPr>
          <w:rFonts w:ascii="黑体" w:eastAsia="黑体"/>
          <w:b w:val="0"/>
          <w:bCs w:val="0"/>
          <w:szCs w:val="32"/>
        </w:rPr>
      </w:pPr>
      <w:r>
        <w:rPr>
          <w:rFonts w:hint="eastAsia" w:ascii="黑体" w:eastAsia="黑体"/>
          <w:b w:val="0"/>
          <w:bCs w:val="0"/>
          <w:szCs w:val="32"/>
        </w:rPr>
        <w:t>项目资金筹措和投入情况表</w:t>
      </w:r>
    </w:p>
    <w:p w14:paraId="585E7B2B">
      <w:pPr>
        <w:jc w:val="left"/>
        <w:rPr>
          <w:rFonts w:hint="eastAsia" w:ascii="黑体" w:eastAsia="黑体"/>
          <w:b w:val="0"/>
          <w:bCs w:val="0"/>
          <w:szCs w:val="32"/>
        </w:rPr>
      </w:pPr>
      <w:r>
        <w:rPr>
          <w:rFonts w:hint="eastAsia" w:ascii="黑体" w:eastAsia="黑体"/>
          <w:b w:val="0"/>
          <w:bCs w:val="0"/>
          <w:szCs w:val="32"/>
        </w:rPr>
        <w:t>（一）项目资金投入</w:t>
      </w:r>
    </w:p>
    <w:tbl>
      <w:tblPr>
        <w:tblStyle w:val="9"/>
        <w:tblW w:w="9209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4"/>
        <w:gridCol w:w="3785"/>
      </w:tblGrid>
      <w:tr w14:paraId="3EC5C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424" w:type="dxa"/>
            <w:noWrap w:val="0"/>
            <w:vAlign w:val="center"/>
          </w:tcPr>
          <w:p w14:paraId="401899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费用构成</w:t>
            </w:r>
          </w:p>
        </w:tc>
        <w:tc>
          <w:tcPr>
            <w:tcW w:w="3785" w:type="dxa"/>
            <w:noWrap w:val="0"/>
            <w:vAlign w:val="center"/>
          </w:tcPr>
          <w:p w14:paraId="7FAF506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  <w:t>金额（万元）</w:t>
            </w:r>
          </w:p>
        </w:tc>
      </w:tr>
      <w:tr w14:paraId="1AB84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424" w:type="dxa"/>
            <w:noWrap w:val="0"/>
            <w:vAlign w:val="center"/>
          </w:tcPr>
          <w:p w14:paraId="01DB49E5"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项目总投资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①+②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）</w:t>
            </w:r>
          </w:p>
        </w:tc>
        <w:tc>
          <w:tcPr>
            <w:tcW w:w="3785" w:type="dxa"/>
            <w:noWrap w:val="0"/>
            <w:vAlign w:val="center"/>
          </w:tcPr>
          <w:p w14:paraId="05D58BD8"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 w14:paraId="4E9AF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424" w:type="dxa"/>
            <w:noWrap w:val="0"/>
            <w:vAlign w:val="center"/>
          </w:tcPr>
          <w:p w14:paraId="781507B8"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其中：①研发费用（不低于总投入50%）</w:t>
            </w:r>
          </w:p>
        </w:tc>
        <w:tc>
          <w:tcPr>
            <w:tcW w:w="3785" w:type="dxa"/>
            <w:noWrap w:val="0"/>
            <w:vAlign w:val="center"/>
          </w:tcPr>
          <w:p w14:paraId="40810875"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  <w:tr w14:paraId="71E1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5424" w:type="dxa"/>
            <w:noWrap w:val="0"/>
            <w:vAlign w:val="center"/>
          </w:tcPr>
          <w:p w14:paraId="16567E81">
            <w:pPr>
              <w:spacing w:line="300" w:lineRule="exact"/>
              <w:ind w:firstLine="702" w:firstLineChars="300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②其它投入</w:t>
            </w:r>
          </w:p>
        </w:tc>
        <w:tc>
          <w:tcPr>
            <w:tcW w:w="3785" w:type="dxa"/>
            <w:noWrap w:val="0"/>
            <w:vAlign w:val="center"/>
          </w:tcPr>
          <w:p w14:paraId="1490F187">
            <w:pPr>
              <w:spacing w:line="300" w:lineRule="exact"/>
              <w:rPr>
                <w:rFonts w:hint="eastAsia" w:ascii="仿宋_GB2312" w:hAnsi="仿宋_GB2312" w:eastAsia="仿宋_GB2312" w:cs="仿宋_GB2312"/>
                <w:b w:val="0"/>
                <w:bCs w:val="0"/>
                <w:szCs w:val="32"/>
              </w:rPr>
            </w:pPr>
          </w:p>
        </w:tc>
      </w:tr>
    </w:tbl>
    <w:p w14:paraId="785F9F34">
      <w:pPr>
        <w:jc w:val="left"/>
        <w:rPr>
          <w:rFonts w:hint="eastAsia" w:ascii="仿宋_GB2312" w:hAnsi="仿宋_GB2312" w:eastAsia="仿宋_GB2312" w:cs="仿宋_GB2312"/>
          <w:b w:val="0"/>
          <w:bCs w:val="0"/>
          <w:szCs w:val="32"/>
        </w:rPr>
      </w:pPr>
    </w:p>
    <w:p w14:paraId="365BF955">
      <w:pPr>
        <w:jc w:val="left"/>
        <w:rPr>
          <w:rFonts w:ascii="黑体" w:eastAsia="黑体"/>
          <w:b w:val="0"/>
          <w:bCs w:val="0"/>
          <w:szCs w:val="32"/>
        </w:rPr>
      </w:pPr>
      <w:r>
        <w:rPr>
          <w:rFonts w:hint="eastAsia" w:ascii="黑体" w:eastAsia="黑体"/>
          <w:b w:val="0"/>
          <w:bCs w:val="0"/>
          <w:szCs w:val="32"/>
        </w:rPr>
        <w:t>（二）研发费用明细表</w:t>
      </w:r>
    </w:p>
    <w:tbl>
      <w:tblPr>
        <w:tblStyle w:val="9"/>
        <w:tblW w:w="9240" w:type="dxa"/>
        <w:tblInd w:w="-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2"/>
        <w:gridCol w:w="2280"/>
        <w:gridCol w:w="2268"/>
        <w:gridCol w:w="2540"/>
      </w:tblGrid>
      <w:tr w14:paraId="09868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00" w:type="dxa"/>
            <w:gridSpan w:val="3"/>
            <w:noWrap w:val="0"/>
            <w:vAlign w:val="center"/>
          </w:tcPr>
          <w:p w14:paraId="196531FF">
            <w:pPr>
              <w:spacing w:line="360" w:lineRule="atLeas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费用名称</w:t>
            </w:r>
          </w:p>
        </w:tc>
        <w:tc>
          <w:tcPr>
            <w:tcW w:w="2540" w:type="dxa"/>
            <w:noWrap w:val="0"/>
            <w:vAlign w:val="top"/>
          </w:tcPr>
          <w:p w14:paraId="4FBFA281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</w:rPr>
              <w:t>金额（万元）</w:t>
            </w:r>
          </w:p>
        </w:tc>
      </w:tr>
      <w:tr w14:paraId="7A291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restart"/>
            <w:noWrap w:val="0"/>
            <w:vAlign w:val="center"/>
          </w:tcPr>
          <w:p w14:paraId="2C8BA347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研发用固定资产投资</w:t>
            </w:r>
          </w:p>
        </w:tc>
        <w:tc>
          <w:tcPr>
            <w:tcW w:w="4548" w:type="dxa"/>
            <w:gridSpan w:val="2"/>
            <w:noWrap w:val="0"/>
            <w:vAlign w:val="top"/>
          </w:tcPr>
          <w:p w14:paraId="565400FD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研发或中试配套设施的建设与改造</w:t>
            </w:r>
          </w:p>
        </w:tc>
        <w:tc>
          <w:tcPr>
            <w:tcW w:w="2540" w:type="dxa"/>
            <w:noWrap w:val="0"/>
            <w:vAlign w:val="top"/>
          </w:tcPr>
          <w:p w14:paraId="3EAA849B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42F3C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152" w:type="dxa"/>
            <w:vMerge w:val="continue"/>
            <w:noWrap w:val="0"/>
            <w:vAlign w:val="center"/>
          </w:tcPr>
          <w:p w14:paraId="61A13A38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7D354117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设备投资购置</w:t>
            </w:r>
          </w:p>
        </w:tc>
        <w:tc>
          <w:tcPr>
            <w:tcW w:w="2268" w:type="dxa"/>
            <w:noWrap w:val="0"/>
            <w:vAlign w:val="top"/>
          </w:tcPr>
          <w:p w14:paraId="4D1C1A3A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研发专用设备</w:t>
            </w:r>
          </w:p>
        </w:tc>
        <w:tc>
          <w:tcPr>
            <w:tcW w:w="2540" w:type="dxa"/>
            <w:noWrap w:val="0"/>
            <w:vAlign w:val="top"/>
          </w:tcPr>
          <w:p w14:paraId="4AA6381C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658E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2152" w:type="dxa"/>
            <w:noWrap w:val="0"/>
            <w:vAlign w:val="center"/>
          </w:tcPr>
          <w:p w14:paraId="65227B71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 w:val="0"/>
                <w:bCs w:val="0"/>
                <w:sz w:val="24"/>
                <w:szCs w:val="24"/>
                <w:lang w:val="en-US" w:eastAsia="zh-CN"/>
              </w:rPr>
              <w:t>2年内研发设备（软件）投入原值</w:t>
            </w:r>
          </w:p>
        </w:tc>
        <w:tc>
          <w:tcPr>
            <w:tcW w:w="2280" w:type="dxa"/>
            <w:noWrap w:val="0"/>
            <w:vAlign w:val="center"/>
          </w:tcPr>
          <w:p w14:paraId="3A4D3A52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top"/>
          </w:tcPr>
          <w:p w14:paraId="17E47420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</w:p>
        </w:tc>
        <w:tc>
          <w:tcPr>
            <w:tcW w:w="2540" w:type="dxa"/>
            <w:noWrap w:val="0"/>
            <w:vAlign w:val="top"/>
          </w:tcPr>
          <w:p w14:paraId="4C98535F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0D798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restart"/>
            <w:noWrap w:val="0"/>
            <w:vAlign w:val="center"/>
          </w:tcPr>
          <w:p w14:paraId="6A8B81AA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无形资产投入</w:t>
            </w:r>
          </w:p>
        </w:tc>
        <w:tc>
          <w:tcPr>
            <w:tcW w:w="2280" w:type="dxa"/>
            <w:vMerge w:val="restart"/>
            <w:noWrap w:val="0"/>
            <w:vAlign w:val="center"/>
          </w:tcPr>
          <w:p w14:paraId="4BAB6515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软件及引进技术购置</w:t>
            </w:r>
          </w:p>
        </w:tc>
        <w:tc>
          <w:tcPr>
            <w:tcW w:w="2268" w:type="dxa"/>
            <w:noWrap w:val="0"/>
            <w:vAlign w:val="top"/>
          </w:tcPr>
          <w:p w14:paraId="6DC3C14D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软件购置费</w:t>
            </w:r>
          </w:p>
        </w:tc>
        <w:tc>
          <w:tcPr>
            <w:tcW w:w="2540" w:type="dxa"/>
            <w:noWrap w:val="0"/>
            <w:vAlign w:val="top"/>
          </w:tcPr>
          <w:p w14:paraId="71B29F3C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D17B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16FD6131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vMerge w:val="continue"/>
            <w:noWrap w:val="0"/>
            <w:vAlign w:val="center"/>
          </w:tcPr>
          <w:p w14:paraId="3BDDA028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top"/>
          </w:tcPr>
          <w:p w14:paraId="43ADE828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引进技术费</w:t>
            </w:r>
          </w:p>
        </w:tc>
        <w:tc>
          <w:tcPr>
            <w:tcW w:w="2540" w:type="dxa"/>
            <w:noWrap w:val="0"/>
            <w:vAlign w:val="top"/>
          </w:tcPr>
          <w:p w14:paraId="3923F6B2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3BD3F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restart"/>
            <w:noWrap w:val="0"/>
            <w:vAlign w:val="center"/>
          </w:tcPr>
          <w:p w14:paraId="45FB9A3C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研发投入</w:t>
            </w:r>
          </w:p>
        </w:tc>
        <w:tc>
          <w:tcPr>
            <w:tcW w:w="2280" w:type="dxa"/>
            <w:vMerge w:val="restart"/>
            <w:noWrap w:val="0"/>
            <w:vAlign w:val="center"/>
          </w:tcPr>
          <w:p w14:paraId="3497BA47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研发或设计费</w:t>
            </w:r>
          </w:p>
        </w:tc>
        <w:tc>
          <w:tcPr>
            <w:tcW w:w="2268" w:type="dxa"/>
            <w:noWrap w:val="0"/>
            <w:vAlign w:val="top"/>
          </w:tcPr>
          <w:p w14:paraId="346E4234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研发人员费用</w:t>
            </w:r>
          </w:p>
        </w:tc>
        <w:tc>
          <w:tcPr>
            <w:tcW w:w="2540" w:type="dxa"/>
            <w:noWrap w:val="0"/>
            <w:vAlign w:val="top"/>
          </w:tcPr>
          <w:p w14:paraId="115A51CB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4BC7E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26967B40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vMerge w:val="continue"/>
            <w:noWrap w:val="0"/>
            <w:vAlign w:val="center"/>
          </w:tcPr>
          <w:p w14:paraId="7EE13234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top"/>
          </w:tcPr>
          <w:p w14:paraId="58CEFDEF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研发设备折旧</w:t>
            </w:r>
          </w:p>
        </w:tc>
        <w:tc>
          <w:tcPr>
            <w:tcW w:w="2540" w:type="dxa"/>
            <w:noWrap w:val="0"/>
            <w:vAlign w:val="top"/>
          </w:tcPr>
          <w:p w14:paraId="56796325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2AE2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6FA307E7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noWrap w:val="0"/>
            <w:vAlign w:val="center"/>
          </w:tcPr>
          <w:p w14:paraId="1A7D61F1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材料费</w:t>
            </w:r>
          </w:p>
        </w:tc>
        <w:tc>
          <w:tcPr>
            <w:tcW w:w="2268" w:type="dxa"/>
            <w:noWrap w:val="0"/>
            <w:vAlign w:val="top"/>
          </w:tcPr>
          <w:p w14:paraId="0EA1502F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新产品试制原材料</w:t>
            </w:r>
          </w:p>
        </w:tc>
        <w:tc>
          <w:tcPr>
            <w:tcW w:w="2540" w:type="dxa"/>
            <w:noWrap w:val="0"/>
            <w:vAlign w:val="top"/>
          </w:tcPr>
          <w:p w14:paraId="300E6301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12AAF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7596EAA3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vMerge w:val="continue"/>
            <w:noWrap w:val="0"/>
            <w:vAlign w:val="center"/>
          </w:tcPr>
          <w:p w14:paraId="4C0A2E6B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top"/>
          </w:tcPr>
          <w:p w14:paraId="087C8CB7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样品或样机用原材料</w:t>
            </w:r>
          </w:p>
        </w:tc>
        <w:tc>
          <w:tcPr>
            <w:tcW w:w="2540" w:type="dxa"/>
            <w:noWrap w:val="0"/>
            <w:vAlign w:val="top"/>
          </w:tcPr>
          <w:p w14:paraId="29C7AE38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68B1E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371B322F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noWrap w:val="0"/>
            <w:vAlign w:val="center"/>
          </w:tcPr>
          <w:p w14:paraId="010F597E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燃料及动力费</w:t>
            </w:r>
          </w:p>
        </w:tc>
        <w:tc>
          <w:tcPr>
            <w:tcW w:w="2268" w:type="dxa"/>
            <w:noWrap w:val="0"/>
            <w:vAlign w:val="top"/>
          </w:tcPr>
          <w:p w14:paraId="176355D8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试制用燃料费、水电费</w:t>
            </w:r>
          </w:p>
        </w:tc>
        <w:tc>
          <w:tcPr>
            <w:tcW w:w="2540" w:type="dxa"/>
            <w:noWrap w:val="0"/>
            <w:vAlign w:val="top"/>
          </w:tcPr>
          <w:p w14:paraId="5984A2A5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40D7E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00D31ECE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noWrap w:val="0"/>
            <w:vAlign w:val="center"/>
          </w:tcPr>
          <w:p w14:paraId="7288DCB2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测试化验及加工费</w:t>
            </w:r>
          </w:p>
        </w:tc>
        <w:tc>
          <w:tcPr>
            <w:tcW w:w="2268" w:type="dxa"/>
            <w:noWrap w:val="0"/>
            <w:vAlign w:val="top"/>
          </w:tcPr>
          <w:p w14:paraId="35A714D3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测试化验费</w:t>
            </w:r>
          </w:p>
        </w:tc>
        <w:tc>
          <w:tcPr>
            <w:tcW w:w="2540" w:type="dxa"/>
            <w:noWrap w:val="0"/>
            <w:vAlign w:val="top"/>
          </w:tcPr>
          <w:p w14:paraId="653D5362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6AB70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2E033329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80" w:type="dxa"/>
            <w:vMerge w:val="continue"/>
            <w:noWrap w:val="0"/>
            <w:vAlign w:val="top"/>
          </w:tcPr>
          <w:p w14:paraId="4AE66BAD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68" w:type="dxa"/>
            <w:noWrap w:val="0"/>
            <w:vAlign w:val="top"/>
          </w:tcPr>
          <w:p w14:paraId="3CFC71A9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</w:rPr>
              <w:t>委托外部加工费</w:t>
            </w:r>
          </w:p>
        </w:tc>
        <w:tc>
          <w:tcPr>
            <w:tcW w:w="2540" w:type="dxa"/>
            <w:noWrap w:val="0"/>
            <w:vAlign w:val="top"/>
          </w:tcPr>
          <w:p w14:paraId="11A47877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13CF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305E6E61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48" w:type="dxa"/>
            <w:gridSpan w:val="2"/>
            <w:noWrap w:val="0"/>
            <w:vAlign w:val="top"/>
          </w:tcPr>
          <w:p w14:paraId="46E09F75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会务费与差旅费</w:t>
            </w:r>
          </w:p>
        </w:tc>
        <w:tc>
          <w:tcPr>
            <w:tcW w:w="2540" w:type="dxa"/>
            <w:noWrap w:val="0"/>
            <w:vAlign w:val="top"/>
          </w:tcPr>
          <w:p w14:paraId="75F3D46C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34FA9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4802EF2E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48" w:type="dxa"/>
            <w:gridSpan w:val="2"/>
            <w:noWrap w:val="0"/>
            <w:vAlign w:val="top"/>
          </w:tcPr>
          <w:p w14:paraId="64C24E3C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协作研究费</w:t>
            </w:r>
          </w:p>
        </w:tc>
        <w:tc>
          <w:tcPr>
            <w:tcW w:w="2540" w:type="dxa"/>
            <w:noWrap w:val="0"/>
            <w:vAlign w:val="top"/>
          </w:tcPr>
          <w:p w14:paraId="377BCC75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0A7A6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2" w:type="dxa"/>
            <w:vMerge w:val="continue"/>
            <w:noWrap w:val="0"/>
            <w:vAlign w:val="center"/>
          </w:tcPr>
          <w:p w14:paraId="0CCFE476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548" w:type="dxa"/>
            <w:gridSpan w:val="2"/>
            <w:noWrap w:val="0"/>
            <w:vAlign w:val="top"/>
          </w:tcPr>
          <w:p w14:paraId="2313D699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资料/印刷/知识产权事务费</w:t>
            </w:r>
          </w:p>
        </w:tc>
        <w:tc>
          <w:tcPr>
            <w:tcW w:w="2540" w:type="dxa"/>
            <w:noWrap w:val="0"/>
            <w:vAlign w:val="top"/>
          </w:tcPr>
          <w:p w14:paraId="7BFCB81F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057FB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2152" w:type="dxa"/>
            <w:noWrap w:val="0"/>
            <w:vAlign w:val="center"/>
          </w:tcPr>
          <w:p w14:paraId="4C81FC39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不可预见费</w:t>
            </w:r>
          </w:p>
        </w:tc>
        <w:tc>
          <w:tcPr>
            <w:tcW w:w="4548" w:type="dxa"/>
            <w:gridSpan w:val="2"/>
            <w:noWrap w:val="0"/>
            <w:vAlign w:val="center"/>
          </w:tcPr>
          <w:p w14:paraId="299D46AC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按照项目预算的编制要求，预计的项目预备费，一般控制在上述预算项目合计的2.5%-5%</w:t>
            </w:r>
          </w:p>
        </w:tc>
        <w:tc>
          <w:tcPr>
            <w:tcW w:w="2540" w:type="dxa"/>
            <w:noWrap w:val="0"/>
            <w:vAlign w:val="center"/>
          </w:tcPr>
          <w:p w14:paraId="046126CC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  <w:tr w14:paraId="7989A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2" w:type="dxa"/>
            <w:noWrap w:val="0"/>
            <w:vAlign w:val="center"/>
          </w:tcPr>
          <w:p w14:paraId="24551A30">
            <w:pPr>
              <w:spacing w:line="360" w:lineRule="atLeas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合计（万元）</w:t>
            </w:r>
          </w:p>
        </w:tc>
        <w:tc>
          <w:tcPr>
            <w:tcW w:w="7088" w:type="dxa"/>
            <w:gridSpan w:val="3"/>
            <w:noWrap w:val="0"/>
            <w:vAlign w:val="top"/>
          </w:tcPr>
          <w:p w14:paraId="7FC9055E">
            <w:pPr>
              <w:spacing w:line="360" w:lineRule="atLeast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</w:tbl>
    <w:p w14:paraId="48BF1F77">
      <w:pPr>
        <w:numPr>
          <w:ilvl w:val="0"/>
          <w:numId w:val="0"/>
        </w:numPr>
        <w:autoSpaceDN w:val="0"/>
        <w:adjustRightInd w:val="0"/>
        <w:spacing w:line="240" w:lineRule="auto"/>
        <w:jc w:val="left"/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</w:pPr>
    </w:p>
    <w:p w14:paraId="78A7A1F2">
      <w:pPr>
        <w:numPr>
          <w:ilvl w:val="0"/>
          <w:numId w:val="0"/>
        </w:numPr>
        <w:autoSpaceDN w:val="0"/>
        <w:adjustRightInd w:val="0"/>
        <w:spacing w:line="240" w:lineRule="auto"/>
        <w:jc w:val="left"/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position w:val="-46"/>
          <w:lang w:val="en-US" w:eastAsia="zh-CN"/>
        </w:rPr>
        <w:t>2.</w:t>
      </w:r>
      <w:r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  <w:t>可行性</w:t>
      </w:r>
      <w:r>
        <w:rPr>
          <w:rFonts w:hint="eastAsia" w:ascii="仿宋_GB2312" w:hAnsi="仿宋_GB2312" w:cs="仿宋_GB2312"/>
          <w:b w:val="0"/>
          <w:bCs w:val="0"/>
          <w:position w:val="-46"/>
          <w:lang w:val="en-US" w:eastAsia="zh-CN"/>
        </w:rPr>
        <w:t>报告</w:t>
      </w:r>
      <w:r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  <w:t>：</w:t>
      </w:r>
    </w:p>
    <w:p w14:paraId="1103A77D">
      <w:pPr>
        <w:numPr>
          <w:ilvl w:val="0"/>
          <w:numId w:val="0"/>
        </w:numPr>
        <w:autoSpaceDN w:val="0"/>
        <w:adjustRightInd w:val="0"/>
        <w:spacing w:line="240" w:lineRule="auto"/>
        <w:jc w:val="left"/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</w:pPr>
      <w:r>
        <w:rPr>
          <w:rFonts w:hint="eastAsia" w:ascii="仿宋_GB2312" w:hAnsi="仿宋_GB2312" w:cs="仿宋_GB2312"/>
          <w:b w:val="0"/>
          <w:bCs w:val="0"/>
          <w:position w:val="-46"/>
          <w:lang w:val="en-US" w:eastAsia="zh-CN"/>
        </w:rPr>
        <w:t xml:space="preserve">    </w:t>
      </w:r>
      <w:r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  <w:t>包括：项目提出的背景和必要性、实施的主要内容和创新特色、实施的基础条件、计划进度和考核指标、 投资估算和资金来源、财务、经济效益和社会效益分析、风险、环保等因素分析和应对的措施等说明。</w:t>
      </w:r>
    </w:p>
    <w:p w14:paraId="1F92E1F3">
      <w:pPr>
        <w:numPr>
          <w:ilvl w:val="0"/>
          <w:numId w:val="0"/>
        </w:numPr>
        <w:autoSpaceDN w:val="0"/>
        <w:adjustRightInd w:val="0"/>
        <w:spacing w:line="240" w:lineRule="auto"/>
        <w:jc w:val="left"/>
        <w:rPr>
          <w:rFonts w:hint="default" w:ascii="仿宋_GB2312" w:hAnsi="仿宋_GB2312" w:cs="仿宋_GB2312"/>
          <w:b w:val="0"/>
          <w:bCs w:val="0"/>
          <w:position w:val="-46"/>
          <w:lang w:val="en-US" w:eastAsia="zh-CN"/>
        </w:rPr>
      </w:pPr>
    </w:p>
    <w:p w14:paraId="05CF54B4"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footerReference r:id="rId6" w:type="default"/>
      <w:footerReference r:id="rId7" w:type="even"/>
      <w:pgSz w:w="11906" w:h="16838"/>
      <w:pgMar w:top="1347" w:right="1474" w:bottom="1259" w:left="1588" w:header="851" w:footer="1049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AndChars" w:linePitch="590" w:charSpace="12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8654D">
    <w:pPr>
      <w:pStyle w:val="6"/>
      <w:spacing w:after="0" w:afterLines="220" w:line="432" w:lineRule="auto"/>
      <w:ind w:left="308" w:leftChars="1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FFAD0">
    <w:pPr>
      <w:pStyle w:val="6"/>
      <w:tabs>
        <w:tab w:val="left" w:pos="2124"/>
        <w:tab w:val="clear" w:pos="4153"/>
      </w:tabs>
      <w:spacing w:line="473" w:lineRule="auto"/>
      <w:ind w:left="308" w:leftChars="100"/>
      <w:jc w:val="left"/>
      <w:rPr>
        <w:rStyle w:val="11"/>
        <w:rFonts w:hint="eastAsia" w:ascii="宋体" w:hAnsi="宋体" w:eastAsia="宋体"/>
        <w:position w:val="-28"/>
        <w:sz w:val="28"/>
      </w:rPr>
    </w:pPr>
    <w:r>
      <w:rPr>
        <w:rStyle w:val="11"/>
        <w:rFonts w:hint="eastAsia" w:ascii="宋体" w:hAnsi="宋体" w:eastAsia="宋体"/>
        <w:position w:val="-28"/>
        <w:sz w:val="28"/>
      </w:rPr>
      <w:t xml:space="preserve">— </w:t>
    </w:r>
    <w:r>
      <w:rPr>
        <w:rFonts w:hint="eastAsia" w:ascii="宋体" w:hAnsi="宋体" w:eastAsia="宋体"/>
        <w:position w:val="-28"/>
        <w:sz w:val="28"/>
      </w:rPr>
      <w:fldChar w:fldCharType="begin"/>
    </w:r>
    <w:r>
      <w:rPr>
        <w:rStyle w:val="11"/>
        <w:rFonts w:hint="eastAsia" w:ascii="宋体" w:hAnsi="宋体" w:eastAsia="宋体"/>
        <w:position w:val="-28"/>
        <w:sz w:val="28"/>
      </w:rPr>
      <w:instrText xml:space="preserve"> PAGE </w:instrText>
    </w:r>
    <w:r>
      <w:rPr>
        <w:rFonts w:hint="eastAsia" w:ascii="宋体" w:hAnsi="宋体" w:eastAsia="宋体"/>
        <w:position w:val="-28"/>
        <w:sz w:val="28"/>
      </w:rPr>
      <w:fldChar w:fldCharType="separate"/>
    </w:r>
    <w:r>
      <w:rPr>
        <w:rStyle w:val="11"/>
        <w:rFonts w:hint="eastAsia" w:ascii="宋体" w:hAnsi="宋体" w:eastAsia="宋体"/>
        <w:position w:val="-28"/>
        <w:sz w:val="28"/>
      </w:rPr>
      <w:t>2</w:t>
    </w:r>
    <w:r>
      <w:rPr>
        <w:rFonts w:hint="eastAsia" w:ascii="宋体" w:hAnsi="宋体" w:eastAsia="宋体"/>
        <w:position w:val="-28"/>
        <w:sz w:val="28"/>
      </w:rPr>
      <w:fldChar w:fldCharType="end"/>
    </w:r>
    <w:r>
      <w:rPr>
        <w:rFonts w:hint="eastAsia" w:ascii="宋体" w:hAnsi="宋体" w:eastAsia="宋体"/>
        <w:position w:val="-28"/>
        <w:sz w:val="28"/>
      </w:rPr>
      <w:t xml:space="preserve"> </w:t>
    </w:r>
    <w:r>
      <w:rPr>
        <w:rStyle w:val="11"/>
        <w:rFonts w:hint="eastAsia" w:ascii="宋体" w:hAnsi="宋体" w:eastAsia="宋体"/>
        <w:position w:val="-28"/>
        <w:sz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12AF0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76EDC"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chineseCountingThousand"/>
      <w:pStyle w:val="14"/>
      <w:suff w:val="space"/>
      <w:lvlText w:val="第%1章"/>
      <w:lvlJc w:val="left"/>
      <w:pPr>
        <w:ind w:left="0" w:firstLine="454"/>
      </w:pPr>
      <w:rPr>
        <w:rFonts w:hint="eastAsia" w:eastAsia="方正黑体_GBK"/>
        <w:color w:val="auto"/>
      </w:rPr>
    </w:lvl>
    <w:lvl w:ilvl="1" w:tentative="0">
      <w:start w:val="1"/>
      <w:numFmt w:val="chineseCountingThousand"/>
      <w:suff w:val="space"/>
      <w:lvlText w:val="第%2条"/>
      <w:lvlJc w:val="left"/>
      <w:pPr>
        <w:ind w:left="0" w:firstLine="0"/>
      </w:pPr>
      <w:rPr>
        <w:rFonts w:hint="eastAsia" w:eastAsia="方正黑体_GBK"/>
        <w:color w:val="auto"/>
      </w:rPr>
    </w:lvl>
    <w:lvl w:ilvl="2" w:tentative="0">
      <w:start w:val="1"/>
      <w:numFmt w:val="chineseCountingThousand"/>
      <w:suff w:val="space"/>
      <w:lvlText w:val="第%3条"/>
      <w:lvlJc w:val="left"/>
      <w:pPr>
        <w:ind w:left="0" w:firstLine="454"/>
      </w:pPr>
      <w:rPr>
        <w:rFonts w:hint="eastAsia"/>
        <w:color w:val="auto"/>
      </w:rPr>
    </w:lvl>
    <w:lvl w:ilvl="3" w:tentative="0">
      <w:start w:val="1"/>
      <w:numFmt w:val="chineseCountingThousand"/>
      <w:suff w:val="space"/>
      <w:lvlText w:val="（%4）"/>
      <w:lvlJc w:val="left"/>
      <w:pPr>
        <w:ind w:left="0" w:firstLine="340"/>
      </w:pPr>
      <w:rPr>
        <w:rFonts w:hint="eastAsia"/>
        <w:color w:val="auto"/>
      </w:rPr>
    </w:lvl>
    <w:lvl w:ilvl="4" w:tentative="0">
      <w:start w:val="1"/>
      <w:numFmt w:val="decimal"/>
      <w:suff w:val="space"/>
      <w:lvlText w:val="%5．"/>
      <w:lvlJc w:val="left"/>
      <w:pPr>
        <w:ind w:left="0" w:firstLine="454"/>
      </w:pPr>
      <w:rPr>
        <w:rFonts w:hint="eastAsia"/>
        <w:color w:val="auto"/>
      </w:rPr>
    </w:lvl>
    <w:lvl w:ilvl="5" w:tentative="0">
      <w:start w:val="1"/>
      <w:numFmt w:val="decimal"/>
      <w:suff w:val="space"/>
      <w:lvlText w:val="（%6）"/>
      <w:lvlJc w:val="left"/>
      <w:pPr>
        <w:ind w:left="0" w:firstLine="340"/>
      </w:pPr>
      <w:rPr>
        <w:rFonts w:hint="eastAsia"/>
        <w:color w:val="auto"/>
      </w:rPr>
    </w:lvl>
    <w:lvl w:ilvl="6" w:tentative="0">
      <w:start w:val="1"/>
      <w:numFmt w:val="decimalEnclosedCircle"/>
      <w:suff w:val="space"/>
      <w:lvlText w:val="%7 "/>
      <w:lvlJc w:val="left"/>
      <w:pPr>
        <w:ind w:left="0" w:firstLine="454"/>
      </w:pPr>
      <w:rPr>
        <w:rFonts w:hint="eastAsia"/>
        <w:color w:val="auto"/>
      </w:rPr>
    </w:lvl>
    <w:lvl w:ilvl="7" w:tentative="0">
      <w:start w:val="1"/>
      <w:numFmt w:val="decimal"/>
      <w:suff w:val="space"/>
      <w:lvlText w:val="%8）"/>
      <w:lvlJc w:val="left"/>
      <w:pPr>
        <w:ind w:left="0" w:firstLine="454"/>
      </w:pPr>
      <w:rPr>
        <w:rFonts w:hint="eastAsia"/>
        <w:color w:val="auto"/>
      </w:rPr>
    </w:lvl>
    <w:lvl w:ilvl="8" w:tentative="0">
      <w:start w:val="1"/>
      <w:numFmt w:val="none"/>
      <w:suff w:val="space"/>
      <w:lvlText w:val="a．"/>
      <w:lvlJc w:val="left"/>
      <w:pPr>
        <w:ind w:left="0" w:firstLine="454"/>
      </w:pPr>
      <w:rPr>
        <w:rFonts w:hint="eastAsia"/>
        <w:color w:val="auto"/>
      </w:rPr>
    </w:lvl>
  </w:abstractNum>
  <w:abstractNum w:abstractNumId="1">
    <w:nsid w:val="20CD1E29"/>
    <w:multiLevelType w:val="multilevel"/>
    <w:tmpl w:val="20CD1E29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2"/>
      <w:lvlText w:val="%1.%2.%3.%4"/>
      <w:lvlJc w:val="left"/>
      <w:pPr>
        <w:ind w:left="1006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HorizontalSpacing w:val="308"/>
  <w:drawingGridVerticalSpacing w:val="295"/>
  <w:displayHorizontalDrawingGridEvery w:val="1"/>
  <w:displayVerticalDrawingGridEvery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wY2JjNTJlMGMxMTJiYzg0MzdlYjk0Nzc2NTBjODgifQ=="/>
    <w:docVar w:name="iDocStyle" w:val="2"/>
  </w:docVars>
  <w:rsids>
    <w:rsidRoot w:val="00172A27"/>
    <w:rsid w:val="00743388"/>
    <w:rsid w:val="00C213CA"/>
    <w:rsid w:val="00C6248C"/>
    <w:rsid w:val="010272F8"/>
    <w:rsid w:val="01237E2F"/>
    <w:rsid w:val="01520CB9"/>
    <w:rsid w:val="01593EC7"/>
    <w:rsid w:val="01F76A7D"/>
    <w:rsid w:val="036A709F"/>
    <w:rsid w:val="0395216D"/>
    <w:rsid w:val="055D2DDD"/>
    <w:rsid w:val="055F3749"/>
    <w:rsid w:val="05773680"/>
    <w:rsid w:val="06C52564"/>
    <w:rsid w:val="07020F0F"/>
    <w:rsid w:val="07552254"/>
    <w:rsid w:val="08115849"/>
    <w:rsid w:val="08934B1E"/>
    <w:rsid w:val="089559CA"/>
    <w:rsid w:val="0999523A"/>
    <w:rsid w:val="0A596A08"/>
    <w:rsid w:val="0C005ABF"/>
    <w:rsid w:val="0C686768"/>
    <w:rsid w:val="0CC81EE2"/>
    <w:rsid w:val="0DAC4DFC"/>
    <w:rsid w:val="0DF04F6A"/>
    <w:rsid w:val="0E750A47"/>
    <w:rsid w:val="0E937FF7"/>
    <w:rsid w:val="0F22043C"/>
    <w:rsid w:val="101B23FC"/>
    <w:rsid w:val="104B514A"/>
    <w:rsid w:val="10BC0EFD"/>
    <w:rsid w:val="10CB508F"/>
    <w:rsid w:val="11397297"/>
    <w:rsid w:val="11B13797"/>
    <w:rsid w:val="11C52438"/>
    <w:rsid w:val="12413F80"/>
    <w:rsid w:val="126343B4"/>
    <w:rsid w:val="134273A6"/>
    <w:rsid w:val="13B341E1"/>
    <w:rsid w:val="13D609D3"/>
    <w:rsid w:val="15651165"/>
    <w:rsid w:val="15C7386F"/>
    <w:rsid w:val="15FA1B1D"/>
    <w:rsid w:val="165F0016"/>
    <w:rsid w:val="16B447CE"/>
    <w:rsid w:val="16B7766D"/>
    <w:rsid w:val="17A91B11"/>
    <w:rsid w:val="184F4570"/>
    <w:rsid w:val="1887756F"/>
    <w:rsid w:val="18FA44BA"/>
    <w:rsid w:val="19391A4D"/>
    <w:rsid w:val="198E6CD6"/>
    <w:rsid w:val="19AD57B1"/>
    <w:rsid w:val="1ACD7E07"/>
    <w:rsid w:val="1B486B8B"/>
    <w:rsid w:val="1B795D21"/>
    <w:rsid w:val="1B884F69"/>
    <w:rsid w:val="1BD702B9"/>
    <w:rsid w:val="1C022402"/>
    <w:rsid w:val="1C8D125E"/>
    <w:rsid w:val="1CF1208B"/>
    <w:rsid w:val="1D584F32"/>
    <w:rsid w:val="1EDD13EC"/>
    <w:rsid w:val="1F657EA0"/>
    <w:rsid w:val="1FC15723"/>
    <w:rsid w:val="20BC44EC"/>
    <w:rsid w:val="21672AEF"/>
    <w:rsid w:val="21C71F93"/>
    <w:rsid w:val="21CE6E10"/>
    <w:rsid w:val="229D2256"/>
    <w:rsid w:val="22D747B2"/>
    <w:rsid w:val="231C31EC"/>
    <w:rsid w:val="23807427"/>
    <w:rsid w:val="23AD2F9D"/>
    <w:rsid w:val="23D4284D"/>
    <w:rsid w:val="24020C24"/>
    <w:rsid w:val="24416FD5"/>
    <w:rsid w:val="24847EF8"/>
    <w:rsid w:val="25457864"/>
    <w:rsid w:val="25A226B0"/>
    <w:rsid w:val="26E32EDA"/>
    <w:rsid w:val="2759091B"/>
    <w:rsid w:val="27B457B1"/>
    <w:rsid w:val="27BD66B9"/>
    <w:rsid w:val="28283572"/>
    <w:rsid w:val="283A128D"/>
    <w:rsid w:val="284D067C"/>
    <w:rsid w:val="2A8668D4"/>
    <w:rsid w:val="2AEE177B"/>
    <w:rsid w:val="2B110A36"/>
    <w:rsid w:val="2B265158"/>
    <w:rsid w:val="2B4A6612"/>
    <w:rsid w:val="2BDE3AC1"/>
    <w:rsid w:val="2CAA58E0"/>
    <w:rsid w:val="2CB846A3"/>
    <w:rsid w:val="2E81295C"/>
    <w:rsid w:val="2E9F6689"/>
    <w:rsid w:val="2EE338FA"/>
    <w:rsid w:val="2EF00A12"/>
    <w:rsid w:val="2F3B6F11"/>
    <w:rsid w:val="2FC254E7"/>
    <w:rsid w:val="30200924"/>
    <w:rsid w:val="310600FC"/>
    <w:rsid w:val="315F0A35"/>
    <w:rsid w:val="31C12A2E"/>
    <w:rsid w:val="31FA3E8C"/>
    <w:rsid w:val="32775F33"/>
    <w:rsid w:val="328535DA"/>
    <w:rsid w:val="33954F92"/>
    <w:rsid w:val="33D56C16"/>
    <w:rsid w:val="33FB26D9"/>
    <w:rsid w:val="340145E2"/>
    <w:rsid w:val="34800678"/>
    <w:rsid w:val="3598597D"/>
    <w:rsid w:val="35EB5E64"/>
    <w:rsid w:val="36144F46"/>
    <w:rsid w:val="36672E4C"/>
    <w:rsid w:val="36732D61"/>
    <w:rsid w:val="36BA0F57"/>
    <w:rsid w:val="37BF4F82"/>
    <w:rsid w:val="37FD60EC"/>
    <w:rsid w:val="383E6B55"/>
    <w:rsid w:val="39006440"/>
    <w:rsid w:val="39F21EE8"/>
    <w:rsid w:val="3A7641F6"/>
    <w:rsid w:val="3A7A647F"/>
    <w:rsid w:val="3AAFA73A"/>
    <w:rsid w:val="3AB55CFA"/>
    <w:rsid w:val="3B5694C7"/>
    <w:rsid w:val="3B815693"/>
    <w:rsid w:val="3BB24130"/>
    <w:rsid w:val="3BFBEA69"/>
    <w:rsid w:val="3D114E3F"/>
    <w:rsid w:val="3D4E4CA4"/>
    <w:rsid w:val="3D642E40"/>
    <w:rsid w:val="3DD376D7"/>
    <w:rsid w:val="3F6C0F96"/>
    <w:rsid w:val="3F7B1682"/>
    <w:rsid w:val="3FDCD335"/>
    <w:rsid w:val="406F5B46"/>
    <w:rsid w:val="4093764A"/>
    <w:rsid w:val="40965C4E"/>
    <w:rsid w:val="413B3F95"/>
    <w:rsid w:val="41554B3E"/>
    <w:rsid w:val="419633AA"/>
    <w:rsid w:val="41FF1754"/>
    <w:rsid w:val="42652EF0"/>
    <w:rsid w:val="42B76D04"/>
    <w:rsid w:val="42F8776E"/>
    <w:rsid w:val="439351BD"/>
    <w:rsid w:val="448C7B84"/>
    <w:rsid w:val="452C3E8A"/>
    <w:rsid w:val="45610E61"/>
    <w:rsid w:val="45D1241A"/>
    <w:rsid w:val="464C1D63"/>
    <w:rsid w:val="46783EAC"/>
    <w:rsid w:val="46D6EF7E"/>
    <w:rsid w:val="472C13D1"/>
    <w:rsid w:val="47382C65"/>
    <w:rsid w:val="48405988"/>
    <w:rsid w:val="48547F3A"/>
    <w:rsid w:val="485943C2"/>
    <w:rsid w:val="487D16AC"/>
    <w:rsid w:val="49742AC1"/>
    <w:rsid w:val="49765A93"/>
    <w:rsid w:val="4B2657DA"/>
    <w:rsid w:val="4B96366F"/>
    <w:rsid w:val="4BB84D48"/>
    <w:rsid w:val="4C0A34CE"/>
    <w:rsid w:val="4C677BAC"/>
    <w:rsid w:val="4C7401A4"/>
    <w:rsid w:val="4CD51C9D"/>
    <w:rsid w:val="4E122B2D"/>
    <w:rsid w:val="4E144BA8"/>
    <w:rsid w:val="4E213EBD"/>
    <w:rsid w:val="4E4862FB"/>
    <w:rsid w:val="4E542446"/>
    <w:rsid w:val="4E550E94"/>
    <w:rsid w:val="4F737FE7"/>
    <w:rsid w:val="4F820602"/>
    <w:rsid w:val="4FF036BA"/>
    <w:rsid w:val="500F7E65"/>
    <w:rsid w:val="504870C6"/>
    <w:rsid w:val="5051749F"/>
    <w:rsid w:val="50A87999"/>
    <w:rsid w:val="50D95330"/>
    <w:rsid w:val="50EC55C1"/>
    <w:rsid w:val="51ED2C7A"/>
    <w:rsid w:val="52000925"/>
    <w:rsid w:val="52514F1D"/>
    <w:rsid w:val="52537B5F"/>
    <w:rsid w:val="525F1CB4"/>
    <w:rsid w:val="52C9005E"/>
    <w:rsid w:val="535769C9"/>
    <w:rsid w:val="535B2E50"/>
    <w:rsid w:val="536A63FE"/>
    <w:rsid w:val="540A12D9"/>
    <w:rsid w:val="548B2A89"/>
    <w:rsid w:val="54963482"/>
    <w:rsid w:val="55696475"/>
    <w:rsid w:val="55886FE9"/>
    <w:rsid w:val="55F846C9"/>
    <w:rsid w:val="5634122E"/>
    <w:rsid w:val="581F6921"/>
    <w:rsid w:val="583706E0"/>
    <w:rsid w:val="58F3622B"/>
    <w:rsid w:val="59933F56"/>
    <w:rsid w:val="59DA6BF7"/>
    <w:rsid w:val="5A363A8E"/>
    <w:rsid w:val="5AB3246B"/>
    <w:rsid w:val="5B3B553A"/>
    <w:rsid w:val="5B97F8B8"/>
    <w:rsid w:val="5CFF3ABE"/>
    <w:rsid w:val="5DC64C56"/>
    <w:rsid w:val="5EFF8B0F"/>
    <w:rsid w:val="5F110489"/>
    <w:rsid w:val="5F6A0B17"/>
    <w:rsid w:val="5F6C1307"/>
    <w:rsid w:val="5F8D9615"/>
    <w:rsid w:val="5F9C6D68"/>
    <w:rsid w:val="5FDF0509"/>
    <w:rsid w:val="61465A39"/>
    <w:rsid w:val="61E861BF"/>
    <w:rsid w:val="61EE1E65"/>
    <w:rsid w:val="622110EA"/>
    <w:rsid w:val="62747816"/>
    <w:rsid w:val="62BF8D43"/>
    <w:rsid w:val="63886FFF"/>
    <w:rsid w:val="640A312F"/>
    <w:rsid w:val="65220379"/>
    <w:rsid w:val="65281BA7"/>
    <w:rsid w:val="65A84DB0"/>
    <w:rsid w:val="66BB7FF3"/>
    <w:rsid w:val="66FC0F03"/>
    <w:rsid w:val="678A5A74"/>
    <w:rsid w:val="67F4C971"/>
    <w:rsid w:val="681803D6"/>
    <w:rsid w:val="68236767"/>
    <w:rsid w:val="68251E2D"/>
    <w:rsid w:val="68806B01"/>
    <w:rsid w:val="6895759E"/>
    <w:rsid w:val="6A7E0B45"/>
    <w:rsid w:val="6BF8388F"/>
    <w:rsid w:val="6C8E6327"/>
    <w:rsid w:val="6CAA3BBC"/>
    <w:rsid w:val="6CCF2613"/>
    <w:rsid w:val="6CFE78B3"/>
    <w:rsid w:val="6DB07703"/>
    <w:rsid w:val="6E3D27EA"/>
    <w:rsid w:val="6EBA7903"/>
    <w:rsid w:val="6F8040FB"/>
    <w:rsid w:val="6FAE7F4B"/>
    <w:rsid w:val="6FB17864"/>
    <w:rsid w:val="6FB3197B"/>
    <w:rsid w:val="6FE2091C"/>
    <w:rsid w:val="6FF9A5FB"/>
    <w:rsid w:val="70342CA5"/>
    <w:rsid w:val="70D3520B"/>
    <w:rsid w:val="71201629"/>
    <w:rsid w:val="714040DC"/>
    <w:rsid w:val="71E5511F"/>
    <w:rsid w:val="74A65D93"/>
    <w:rsid w:val="74C723A3"/>
    <w:rsid w:val="75232ABD"/>
    <w:rsid w:val="759252EF"/>
    <w:rsid w:val="75AB1A02"/>
    <w:rsid w:val="76377102"/>
    <w:rsid w:val="76F42D38"/>
    <w:rsid w:val="777C1998"/>
    <w:rsid w:val="77F160D3"/>
    <w:rsid w:val="77FB2DBC"/>
    <w:rsid w:val="77FEFBA0"/>
    <w:rsid w:val="78CD25BE"/>
    <w:rsid w:val="7968023E"/>
    <w:rsid w:val="79DF7454"/>
    <w:rsid w:val="7A2037D1"/>
    <w:rsid w:val="7A2463F3"/>
    <w:rsid w:val="7A581D45"/>
    <w:rsid w:val="7ABB3FE8"/>
    <w:rsid w:val="7B1F6718"/>
    <w:rsid w:val="7B417AC4"/>
    <w:rsid w:val="7B5022DD"/>
    <w:rsid w:val="7B9052C5"/>
    <w:rsid w:val="7C314E4E"/>
    <w:rsid w:val="7C777B41"/>
    <w:rsid w:val="7D4E4321"/>
    <w:rsid w:val="7D915F3A"/>
    <w:rsid w:val="7D9B4853"/>
    <w:rsid w:val="7DBD5361"/>
    <w:rsid w:val="7DF32A4B"/>
    <w:rsid w:val="7E1E1177"/>
    <w:rsid w:val="7E694428"/>
    <w:rsid w:val="7E926F37"/>
    <w:rsid w:val="7F3D6474"/>
    <w:rsid w:val="7F7704AE"/>
    <w:rsid w:val="7FFEC42C"/>
    <w:rsid w:val="97C603C4"/>
    <w:rsid w:val="97FCDB87"/>
    <w:rsid w:val="9FFDA23F"/>
    <w:rsid w:val="A5DF4B29"/>
    <w:rsid w:val="ADFE0D3C"/>
    <w:rsid w:val="BDFF967F"/>
    <w:rsid w:val="BF2DE565"/>
    <w:rsid w:val="BF7F8282"/>
    <w:rsid w:val="BF7F9177"/>
    <w:rsid w:val="BFB7564B"/>
    <w:rsid w:val="BFFB368A"/>
    <w:rsid w:val="D7CE6F5A"/>
    <w:rsid w:val="D7F63693"/>
    <w:rsid w:val="DBFF6110"/>
    <w:rsid w:val="DCF37343"/>
    <w:rsid w:val="DEBD07AB"/>
    <w:rsid w:val="EFA7C865"/>
    <w:rsid w:val="F3F12EA4"/>
    <w:rsid w:val="F737027D"/>
    <w:rsid w:val="F99BA370"/>
    <w:rsid w:val="FB57D200"/>
    <w:rsid w:val="FCED229C"/>
    <w:rsid w:val="FDA9BEB4"/>
    <w:rsid w:val="FDDD77B0"/>
    <w:rsid w:val="FEFF2EFB"/>
    <w:rsid w:val="FF5F615E"/>
    <w:rsid w:val="FFE80900"/>
    <w:rsid w:val="FFEFFB7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Cambria" w:hAnsi="Cambria" w:eastAsia="宋体" w:cs="Times New Roman"/>
      <w:b/>
      <w:bCs/>
      <w:spacing w:val="0"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line="600" w:lineRule="exact"/>
    </w:pPr>
    <w:rPr>
      <w:rFonts w:ascii="Cambria" w:hAnsi="Cambria" w:eastAsia="黑体" w:cs="Times New Roman"/>
      <w:spacing w:val="0"/>
      <w:sz w:val="20"/>
      <w:szCs w:val="20"/>
    </w:rPr>
  </w:style>
  <w:style w:type="paragraph" w:styleId="4">
    <w:name w:val="Body Text"/>
    <w:basedOn w:val="1"/>
    <w:next w:val="5"/>
    <w:qFormat/>
    <w:uiPriority w:val="0"/>
    <w:pPr>
      <w:spacing w:after="120" w:afterLines="0"/>
    </w:p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6">
    <w:name w:val="footer"/>
    <w:basedOn w:val="1"/>
    <w:unhideWhenUsed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sz w:val="20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line number"/>
    <w:basedOn w:val="10"/>
    <w:qFormat/>
    <w:uiPriority w:val="0"/>
  </w:style>
  <w:style w:type="character" w:styleId="13">
    <w:name w:val="Hyperlink"/>
    <w:basedOn w:val="10"/>
    <w:unhideWhenUsed/>
    <w:qFormat/>
    <w:uiPriority w:val="0"/>
    <w:rPr>
      <w:rFonts w:ascii="Calibri" w:hAnsi="Calibri" w:eastAsia="宋体" w:cs="Times New Roman"/>
      <w:color w:val="0000FF"/>
      <w:u w:val="single"/>
    </w:rPr>
  </w:style>
  <w:style w:type="paragraph" w:customStyle="1" w:styleId="14">
    <w:name w:val="居中"/>
    <w:basedOn w:val="1"/>
    <w:qFormat/>
    <w:uiPriority w:val="0"/>
    <w:pPr>
      <w:numPr>
        <w:ilvl w:val="0"/>
        <w:numId w:val="2"/>
      </w:numPr>
    </w:pPr>
  </w:style>
  <w:style w:type="paragraph" w:styleId="15">
    <w:name w:val="List Paragraph"/>
    <w:basedOn w:val="1"/>
    <w:qFormat/>
    <w:uiPriority w:val="34"/>
    <w:pPr>
      <w:spacing w:line="600" w:lineRule="exact"/>
      <w:ind w:firstLine="420" w:firstLineChars="200"/>
    </w:pPr>
    <w:rPr>
      <w:rFonts w:ascii="Times New Roman" w:hAnsi="Times New Roman" w:eastAsia="仿宋" w:cs="Times New Roman"/>
      <w:spacing w:val="0"/>
      <w:szCs w:val="22"/>
    </w:rPr>
  </w:style>
  <w:style w:type="character" w:customStyle="1" w:styleId="16">
    <w:name w:val="font5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17">
    <w:name w:val="font0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18">
    <w:name w:val="font12"/>
    <w:basedOn w:val="10"/>
    <w:qFormat/>
    <w:uiPriority w:val="0"/>
    <w:rPr>
      <w:rFonts w:ascii="仿宋_GB2312" w:hAnsi="Calibri" w:eastAsia="仿宋_GB2312" w:cs="仿宋_GB2312"/>
      <w:color w:val="000000"/>
      <w:sz w:val="24"/>
      <w:szCs w:val="24"/>
      <w:u w:val="none"/>
    </w:rPr>
  </w:style>
  <w:style w:type="character" w:customStyle="1" w:styleId="19">
    <w:name w:val="font41"/>
    <w:basedOn w:val="10"/>
    <w:qFormat/>
    <w:uiPriority w:val="0"/>
    <w:rPr>
      <w:rFonts w:hint="default" w:ascii="Times New Roman" w:hAnsi="Times New Roman" w:eastAsia="宋体" w:cs="Times New Roman"/>
      <w:color w:val="000000"/>
      <w:sz w:val="24"/>
      <w:szCs w:val="24"/>
      <w:u w:val="none"/>
    </w:rPr>
  </w:style>
  <w:style w:type="character" w:customStyle="1" w:styleId="20">
    <w:name w:val="font21"/>
    <w:basedOn w:val="10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  <w:style w:type="character" w:customStyle="1" w:styleId="21">
    <w:name w:val="font3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2">
    <w:name w:val="font9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3">
    <w:name w:val="font81"/>
    <w:basedOn w:val="10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24">
    <w:name w:val="font71"/>
    <w:basedOn w:val="10"/>
    <w:qFormat/>
    <w:uiPriority w:val="0"/>
    <w:rPr>
      <w:rFonts w:ascii="黑体" w:hAnsi="宋体" w:eastAsia="黑体" w:cs="黑体"/>
      <w:color w:val="000000"/>
      <w:sz w:val="28"/>
      <w:szCs w:val="28"/>
      <w:u w:val="none"/>
    </w:rPr>
  </w:style>
  <w:style w:type="character" w:customStyle="1" w:styleId="25">
    <w:name w:val="font11"/>
    <w:basedOn w:val="10"/>
    <w:qFormat/>
    <w:uiPriority w:val="0"/>
    <w:rPr>
      <w:rFonts w:hint="default" w:ascii="Times New Roman" w:hAnsi="Times New Roman" w:eastAsia="宋体" w:cs="Times New Roman"/>
      <w:color w:val="000000"/>
      <w:sz w:val="28"/>
      <w:szCs w:val="28"/>
      <w:u w:val="none"/>
    </w:rPr>
  </w:style>
  <w:style w:type="character" w:customStyle="1" w:styleId="26">
    <w:name w:val="font61"/>
    <w:basedOn w:val="10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13237</Words>
  <Characters>14352</Characters>
  <Lines>0</Lines>
  <Paragraphs>0</Paragraphs>
  <TotalTime>14</TotalTime>
  <ScaleCrop>false</ScaleCrop>
  <LinksUpToDate>false</LinksUpToDate>
  <CharactersWithSpaces>14611</CharactersWithSpaces>
  <Application>WPS Office_12.9.0.18469_F1E327BC-269C-435d-A152-05C5408002CA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2024-04-29T10:30:00Z</dcterms:created>
  <dc:creator>倪玲</dc:creator>
  <cp:lastModifiedBy>user</cp:lastModifiedBy>
  <dcterms:modified xsi:type="dcterms:W3CDTF">2026-07-31T16:44:29Z</dcterms:modified>
  <dc:title>为贯彻实施创新驱动发展战略，强化企业技术创新的主体地位，鼓励和支持企业建设企业技术中心，根据《上海市企业技术中心管理办法》(沪经信规范〔2022〕3号)和《上海市市级企业技术中心认定评价工作指南》(沪经信技〔2022〕145号)，现就组织开展2024年度上半年（第32批）上海市企业技术中心申报工作的有关事项通知如下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2052-12.9.0.18469</vt:lpwstr>
  </property>
  <property fmtid="{D5CDD505-2E9C-101B-9397-08002B2CF9AE}" pid="3" name="公文模板版本">
    <vt:lpwstr>20171116</vt:lpwstr>
  </property>
  <property fmtid="{D5CDD505-2E9C-101B-9397-08002B2CF9AE}" pid="4" name="文种">
    <vt:lpwstr>通知</vt:lpwstr>
  </property>
  <property fmtid="{D5CDD505-2E9C-101B-9397-08002B2CF9AE}" pid="5" name="公文标识">
    <vt:lpwstr>1.2.156.10.113100000024220045-024-2024-08-06506-O</vt:lpwstr>
  </property>
  <property fmtid="{D5CDD505-2E9C-101B-9397-08002B2CF9AE}" pid="6" name="ICV">
    <vt:lpwstr>C5EA95CF6B1D0981739B4D6A421FB6C5</vt:lpwstr>
  </property>
</Properties>
</file>